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32F" w:rsidRDefault="00A0632F" w:rsidP="00A34A68">
      <w:pPr>
        <w:shd w:val="clear" w:color="auto" w:fill="FFFFFF"/>
        <w:spacing w:before="100" w:beforeAutospacing="1" w:after="100" w:afterAutospacing="1"/>
        <w:outlineLvl w:val="2"/>
        <w:rPr>
          <w:rFonts w:cs="Arial"/>
          <w:b/>
          <w:bCs/>
          <w:color w:val="330066"/>
        </w:rPr>
      </w:pPr>
      <w:bookmarkStart w:id="0" w:name="p21"/>
      <w:bookmarkEnd w:id="0"/>
    </w:p>
    <w:tbl>
      <w:tblPr>
        <w:tblW w:w="9360" w:type="dxa"/>
        <w:tblLayout w:type="fixed"/>
        <w:tblCellMar>
          <w:left w:w="80" w:type="dxa"/>
          <w:right w:w="80" w:type="dxa"/>
        </w:tblCellMar>
        <w:tblLook w:val="0000"/>
      </w:tblPr>
      <w:tblGrid>
        <w:gridCol w:w="5760"/>
        <w:gridCol w:w="3600"/>
      </w:tblGrid>
      <w:tr w:rsidR="00AD47B9" w:rsidTr="001316B9">
        <w:trPr>
          <w:cantSplit/>
        </w:trPr>
        <w:tc>
          <w:tcPr>
            <w:tcW w:w="5760" w:type="dxa"/>
          </w:tcPr>
          <w:p w:rsidR="00AD47B9" w:rsidRDefault="00AD47B9" w:rsidP="001316B9">
            <w:pPr>
              <w:spacing w:before="120"/>
              <w:ind w:right="26"/>
              <w:jc w:val="both"/>
              <w:rPr>
                <w:b/>
              </w:rPr>
            </w:pPr>
          </w:p>
        </w:tc>
        <w:tc>
          <w:tcPr>
            <w:tcW w:w="3600" w:type="dxa"/>
          </w:tcPr>
          <w:p w:rsidR="00AD47B9" w:rsidRDefault="00AD47B9" w:rsidP="001316B9">
            <w:pPr>
              <w:rPr>
                <w:rFonts w:ascii="New York" w:hAnsi="New York"/>
              </w:rPr>
            </w:pPr>
            <w:r>
              <w:rPr>
                <w:noProof/>
              </w:rPr>
              <w:drawing>
                <wp:inline distT="0" distB="0" distL="0" distR="0">
                  <wp:extent cx="2162175" cy="5143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162175" cy="514350"/>
                          </a:xfrm>
                          <a:prstGeom prst="rect">
                            <a:avLst/>
                          </a:prstGeom>
                          <a:noFill/>
                          <a:ln w="9525">
                            <a:noFill/>
                            <a:miter lim="800000"/>
                            <a:headEnd/>
                            <a:tailEnd/>
                          </a:ln>
                        </pic:spPr>
                      </pic:pic>
                    </a:graphicData>
                  </a:graphic>
                </wp:inline>
              </w:drawing>
            </w:r>
          </w:p>
        </w:tc>
      </w:tr>
    </w:tbl>
    <w:p w:rsidR="00AD47B9" w:rsidRDefault="00AD47B9" w:rsidP="00AD47B9">
      <w:pPr>
        <w:rPr>
          <w:b/>
          <w:sz w:val="36"/>
          <w:szCs w:val="36"/>
        </w:rPr>
      </w:pPr>
    </w:p>
    <w:p w:rsidR="00AD47B9" w:rsidRPr="00AD47B9" w:rsidRDefault="00AD47B9" w:rsidP="00AD47B9">
      <w:pPr>
        <w:rPr>
          <w:b/>
          <w:sz w:val="36"/>
          <w:szCs w:val="36"/>
        </w:rPr>
      </w:pPr>
      <w:r w:rsidRPr="00AD47B9">
        <w:rPr>
          <w:b/>
          <w:sz w:val="36"/>
          <w:szCs w:val="36"/>
        </w:rPr>
        <w:t>SENATE</w:t>
      </w:r>
    </w:p>
    <w:p w:rsidR="00AD47B9" w:rsidRPr="00AD47B9" w:rsidRDefault="00AD47B9" w:rsidP="00AD47B9">
      <w:pPr>
        <w:pBdr>
          <w:bottom w:val="single" w:sz="12" w:space="1" w:color="auto"/>
        </w:pBdr>
        <w:rPr>
          <w:b/>
          <w:sz w:val="22"/>
          <w:szCs w:val="22"/>
        </w:rPr>
      </w:pPr>
    </w:p>
    <w:p w:rsidR="00AD47B9" w:rsidRPr="00AD47B9" w:rsidRDefault="00AD47B9" w:rsidP="00AD47B9">
      <w:pPr>
        <w:rPr>
          <w:b/>
          <w:sz w:val="22"/>
          <w:szCs w:val="22"/>
        </w:rPr>
      </w:pPr>
    </w:p>
    <w:p w:rsidR="00AD47B9" w:rsidRPr="00AD47B9" w:rsidRDefault="00AD47B9" w:rsidP="00637E31">
      <w:pPr>
        <w:ind w:left="1440" w:hanging="1440"/>
        <w:rPr>
          <w:b/>
          <w:sz w:val="22"/>
          <w:szCs w:val="22"/>
        </w:rPr>
      </w:pPr>
      <w:r w:rsidRPr="00AD47B9">
        <w:rPr>
          <w:b/>
          <w:sz w:val="22"/>
          <w:szCs w:val="22"/>
        </w:rPr>
        <w:t>Subject:</w:t>
      </w:r>
      <w:r w:rsidRPr="00AD47B9">
        <w:rPr>
          <w:b/>
          <w:sz w:val="22"/>
          <w:szCs w:val="22"/>
        </w:rPr>
        <w:tab/>
      </w:r>
      <w:r w:rsidR="00637E31" w:rsidRPr="007A6647">
        <w:rPr>
          <w:rFonts w:cs="Arial"/>
          <w:sz w:val="22"/>
          <w:szCs w:val="22"/>
        </w:rPr>
        <w:t>Amendments to the</w:t>
      </w:r>
      <w:r w:rsidR="00637E31">
        <w:rPr>
          <w:rFonts w:cs="Arial"/>
          <w:sz w:val="22"/>
          <w:szCs w:val="22"/>
        </w:rPr>
        <w:t> </w:t>
      </w:r>
      <w:r w:rsidR="00637E31" w:rsidRPr="007A6647">
        <w:rPr>
          <w:rFonts w:cs="Arial"/>
          <w:sz w:val="22"/>
          <w:szCs w:val="22"/>
        </w:rPr>
        <w:t>Regulations for Higher Degrees by Research</w:t>
      </w:r>
      <w:r w:rsidR="00637E31">
        <w:rPr>
          <w:rFonts w:cs="Arial"/>
          <w:sz w:val="22"/>
          <w:szCs w:val="22"/>
        </w:rPr>
        <w:t xml:space="preserve"> - </w:t>
      </w:r>
      <w:r w:rsidR="00637E31" w:rsidRPr="007A4386">
        <w:rPr>
          <w:rFonts w:cs="Arial"/>
          <w:bCs/>
          <w:color w:val="000000"/>
          <w:sz w:val="22"/>
          <w:szCs w:val="22"/>
        </w:rPr>
        <w:t>Regulations for Higher Doctorates</w:t>
      </w:r>
    </w:p>
    <w:p w:rsidR="00AD47B9" w:rsidRPr="00AD47B9" w:rsidRDefault="00AD47B9" w:rsidP="00AD47B9">
      <w:pPr>
        <w:rPr>
          <w:b/>
          <w:sz w:val="22"/>
          <w:szCs w:val="22"/>
        </w:rPr>
      </w:pPr>
    </w:p>
    <w:p w:rsidR="00AD47B9" w:rsidRPr="00AD47B9" w:rsidRDefault="00AD47B9" w:rsidP="00AD47B9">
      <w:pPr>
        <w:ind w:left="1440" w:hanging="1440"/>
        <w:rPr>
          <w:b/>
          <w:sz w:val="22"/>
          <w:szCs w:val="22"/>
        </w:rPr>
      </w:pPr>
      <w:r w:rsidRPr="00AD47B9">
        <w:rPr>
          <w:b/>
          <w:sz w:val="22"/>
          <w:szCs w:val="22"/>
        </w:rPr>
        <w:t xml:space="preserve">Origin:      </w:t>
      </w:r>
      <w:r w:rsidRPr="00AD47B9">
        <w:rPr>
          <w:b/>
          <w:sz w:val="22"/>
          <w:szCs w:val="22"/>
        </w:rPr>
        <w:tab/>
      </w:r>
      <w:r w:rsidRPr="00AD47B9">
        <w:rPr>
          <w:rFonts w:cs="Arial"/>
          <w:bCs/>
          <w:color w:val="000000"/>
          <w:sz w:val="22"/>
          <w:szCs w:val="22"/>
        </w:rPr>
        <w:t>Dr Brigette Vale, Secretary to the Higher Doctorates Committee</w:t>
      </w:r>
    </w:p>
    <w:p w:rsidR="00AD47B9" w:rsidRPr="00AD47B9" w:rsidRDefault="00AD47B9" w:rsidP="00AD47B9">
      <w:pPr>
        <w:tabs>
          <w:tab w:val="left" w:pos="8460"/>
        </w:tabs>
        <w:rPr>
          <w:b/>
          <w:sz w:val="22"/>
          <w:szCs w:val="22"/>
          <w:u w:val="single"/>
        </w:rPr>
      </w:pPr>
      <w:r w:rsidRPr="00AD47B9">
        <w:rPr>
          <w:b/>
          <w:sz w:val="22"/>
          <w:szCs w:val="22"/>
          <w:u w:val="single"/>
        </w:rPr>
        <w:tab/>
      </w:r>
    </w:p>
    <w:p w:rsidR="00AD47B9" w:rsidRPr="00AD47B9" w:rsidRDefault="00AD47B9" w:rsidP="00AD47B9">
      <w:pPr>
        <w:rPr>
          <w:sz w:val="22"/>
          <w:szCs w:val="22"/>
        </w:rPr>
      </w:pPr>
    </w:p>
    <w:p w:rsidR="00A0632F" w:rsidRPr="00AD47B9" w:rsidRDefault="00A0632F" w:rsidP="00A34A68">
      <w:pPr>
        <w:shd w:val="clear" w:color="auto" w:fill="FFFFFF"/>
        <w:spacing w:before="100" w:beforeAutospacing="1" w:after="100" w:afterAutospacing="1"/>
        <w:outlineLvl w:val="2"/>
        <w:rPr>
          <w:rFonts w:cs="Arial"/>
          <w:bCs/>
          <w:color w:val="000000"/>
          <w:sz w:val="22"/>
          <w:szCs w:val="22"/>
        </w:rPr>
      </w:pPr>
      <w:r w:rsidRPr="00AD47B9">
        <w:rPr>
          <w:rFonts w:cs="Arial"/>
          <w:bCs/>
          <w:color w:val="000000"/>
          <w:sz w:val="22"/>
          <w:szCs w:val="22"/>
        </w:rPr>
        <w:t>Senate</w:t>
      </w:r>
      <w:r w:rsidR="00AD47B9" w:rsidRPr="00AD47B9">
        <w:rPr>
          <w:rFonts w:cs="Arial"/>
          <w:bCs/>
          <w:color w:val="000000"/>
          <w:sz w:val="22"/>
          <w:szCs w:val="22"/>
        </w:rPr>
        <w:t xml:space="preserve"> is asked to approve</w:t>
      </w:r>
      <w:r w:rsidRPr="00AD47B9">
        <w:rPr>
          <w:rFonts w:cs="Arial"/>
          <w:bCs/>
          <w:color w:val="000000"/>
          <w:sz w:val="22"/>
          <w:szCs w:val="22"/>
        </w:rPr>
        <w:t xml:space="preserve"> amendments to the regulations for Higher Doctorates. The amendments are being brought forward at the request of the Higher Doctorates Committee to clarify procedures in the light of operational experience in the current academic year. </w:t>
      </w:r>
      <w:r w:rsidR="00AD47B9">
        <w:rPr>
          <w:rFonts w:cs="Arial"/>
          <w:bCs/>
          <w:color w:val="000000"/>
          <w:sz w:val="22"/>
          <w:szCs w:val="22"/>
        </w:rPr>
        <w:t xml:space="preserve">The proposals </w:t>
      </w:r>
      <w:proofErr w:type="gramStart"/>
      <w:r w:rsidR="00AD47B9">
        <w:rPr>
          <w:rFonts w:cs="Arial"/>
          <w:bCs/>
          <w:color w:val="000000"/>
          <w:sz w:val="22"/>
          <w:szCs w:val="22"/>
        </w:rPr>
        <w:t xml:space="preserve">include  </w:t>
      </w:r>
      <w:r w:rsidRPr="00AD47B9">
        <w:rPr>
          <w:rFonts w:cs="Arial"/>
          <w:bCs/>
          <w:color w:val="000000"/>
          <w:sz w:val="22"/>
          <w:szCs w:val="22"/>
        </w:rPr>
        <w:t>clarification</w:t>
      </w:r>
      <w:proofErr w:type="gramEnd"/>
      <w:r w:rsidRPr="00AD47B9">
        <w:rPr>
          <w:rFonts w:cs="Arial"/>
          <w:bCs/>
          <w:color w:val="000000"/>
          <w:sz w:val="22"/>
          <w:szCs w:val="22"/>
        </w:rPr>
        <w:t xml:space="preserve"> of the guidance to candidates and requirements for the award, and recording of the  working practices adopted in respect of the appointment of Examiners and examination outcomes.</w:t>
      </w:r>
    </w:p>
    <w:p w:rsidR="00AD47B9" w:rsidRDefault="00AD47B9" w:rsidP="00A34A68">
      <w:pPr>
        <w:shd w:val="clear" w:color="auto" w:fill="FFFFFF"/>
        <w:spacing w:before="100" w:beforeAutospacing="1" w:after="100" w:afterAutospacing="1"/>
        <w:outlineLvl w:val="2"/>
        <w:rPr>
          <w:rFonts w:cs="Arial"/>
          <w:bCs/>
          <w:color w:val="000000"/>
          <w:sz w:val="22"/>
          <w:szCs w:val="22"/>
        </w:rPr>
      </w:pPr>
      <w:r>
        <w:rPr>
          <w:rFonts w:cs="Arial"/>
          <w:bCs/>
          <w:color w:val="000000"/>
          <w:sz w:val="22"/>
          <w:szCs w:val="22"/>
        </w:rPr>
        <w:t>___________________________________________________________________</w:t>
      </w:r>
    </w:p>
    <w:p w:rsidR="00A0632F" w:rsidRPr="00AD47B9" w:rsidRDefault="00A0632F" w:rsidP="00A34A68">
      <w:pPr>
        <w:shd w:val="clear" w:color="auto" w:fill="FFFFFF"/>
        <w:spacing w:before="100" w:beforeAutospacing="1" w:after="100" w:afterAutospacing="1"/>
        <w:outlineLvl w:val="2"/>
        <w:rPr>
          <w:rFonts w:cs="Arial"/>
          <w:bCs/>
          <w:color w:val="000000"/>
          <w:sz w:val="22"/>
          <w:szCs w:val="22"/>
        </w:rPr>
      </w:pPr>
      <w:r w:rsidRPr="00AD47B9">
        <w:rPr>
          <w:rFonts w:cs="Arial"/>
          <w:bCs/>
          <w:color w:val="000000"/>
          <w:sz w:val="22"/>
          <w:szCs w:val="22"/>
        </w:rPr>
        <w:t>21. Regulations for Higher Doctorates</w:t>
      </w:r>
    </w:p>
    <w:p w:rsidR="00A0632F" w:rsidRPr="00AD47B9" w:rsidRDefault="00A0632F" w:rsidP="00A34A68">
      <w:pPr>
        <w:shd w:val="clear" w:color="auto" w:fill="FFFFFF"/>
        <w:spacing w:before="100" w:beforeAutospacing="1" w:after="100" w:afterAutospacing="1"/>
        <w:rPr>
          <w:rFonts w:cs="Arial"/>
          <w:sz w:val="22"/>
          <w:szCs w:val="22"/>
        </w:rPr>
      </w:pPr>
      <w:r w:rsidRPr="00AD47B9">
        <w:rPr>
          <w:rFonts w:cs="Arial"/>
          <w:b/>
          <w:bCs/>
          <w:sz w:val="22"/>
          <w:szCs w:val="22"/>
        </w:rPr>
        <w:t>21.1</w:t>
      </w:r>
      <w:r w:rsidRPr="00AD47B9">
        <w:rPr>
          <w:rFonts w:cs="Arial"/>
          <w:sz w:val="22"/>
          <w:szCs w:val="22"/>
        </w:rPr>
        <w:t xml:space="preserve"> The Degree of Doctor of Technology (DTech), Doctor of Science (</w:t>
      </w:r>
      <w:proofErr w:type="gramStart"/>
      <w:r w:rsidRPr="00AD47B9">
        <w:rPr>
          <w:rFonts w:cs="Arial"/>
          <w:sz w:val="22"/>
          <w:szCs w:val="22"/>
        </w:rPr>
        <w:t>DSc</w:t>
      </w:r>
      <w:proofErr w:type="gramEnd"/>
      <w:r w:rsidRPr="00AD47B9">
        <w:rPr>
          <w:rFonts w:cs="Arial"/>
          <w:sz w:val="22"/>
          <w:szCs w:val="22"/>
        </w:rPr>
        <w:t>) or Doctor of Letters (DLitt), may be conferred by the University in recognition of published work constituting a sustained, substantial and original contribution to knowledge. The degree is conferred by the Senate on the recommendation of the Higher Doctorates Committee (hereinafter referred to as the “Committee”).</w:t>
      </w:r>
    </w:p>
    <w:p w:rsidR="00A0632F" w:rsidRPr="00AD47B9" w:rsidRDefault="00A0632F" w:rsidP="00A34A68">
      <w:pPr>
        <w:shd w:val="clear" w:color="auto" w:fill="FFFFFF"/>
        <w:spacing w:before="100" w:beforeAutospacing="1" w:after="100" w:afterAutospacing="1"/>
        <w:rPr>
          <w:rFonts w:cs="Arial"/>
          <w:sz w:val="22"/>
          <w:szCs w:val="22"/>
        </w:rPr>
      </w:pPr>
      <w:r w:rsidRPr="00AD47B9">
        <w:rPr>
          <w:rFonts w:cs="Arial"/>
          <w:b/>
          <w:bCs/>
          <w:sz w:val="22"/>
          <w:szCs w:val="22"/>
        </w:rPr>
        <w:t>21.2</w:t>
      </w:r>
      <w:r w:rsidRPr="00AD47B9">
        <w:rPr>
          <w:rFonts w:cs="Arial"/>
          <w:sz w:val="22"/>
          <w:szCs w:val="22"/>
        </w:rPr>
        <w:t xml:space="preserve"> Eligibility</w:t>
      </w:r>
    </w:p>
    <w:p w:rsidR="00A0632F" w:rsidRPr="00AD47B9" w:rsidRDefault="00A0632F" w:rsidP="00A34A68">
      <w:pPr>
        <w:shd w:val="clear" w:color="auto" w:fill="FFFFFF"/>
        <w:spacing w:before="100" w:beforeAutospacing="1" w:after="100" w:afterAutospacing="1"/>
        <w:rPr>
          <w:rFonts w:cs="Arial"/>
          <w:sz w:val="22"/>
          <w:szCs w:val="22"/>
        </w:rPr>
      </w:pPr>
      <w:r w:rsidRPr="00AD47B9">
        <w:rPr>
          <w:rFonts w:cs="Arial"/>
          <w:sz w:val="22"/>
          <w:szCs w:val="22"/>
        </w:rPr>
        <w:t>To be eligible to submit for a Higher Doctorate a candidate must be a graduate of the University or a Diplomate of the former Loughborough College of Technology or a member or former member of the Academic Staff of the University. Graduates of the University may submit after not less than nine years after having had conferred the degree of Bachelor, or not less than six years after having conferred the degree of Doctor of Philosophy, Academic Staff must have been in post not less than seven years.</w:t>
      </w:r>
    </w:p>
    <w:p w:rsidR="00A0632F" w:rsidRPr="00AD47B9" w:rsidRDefault="00A0632F" w:rsidP="00A34A68">
      <w:pPr>
        <w:shd w:val="clear" w:color="auto" w:fill="FFFFFF"/>
        <w:spacing w:before="100" w:beforeAutospacing="1" w:after="100" w:afterAutospacing="1"/>
        <w:rPr>
          <w:rFonts w:cs="Arial"/>
          <w:sz w:val="22"/>
          <w:szCs w:val="22"/>
        </w:rPr>
      </w:pPr>
      <w:r w:rsidRPr="00AD47B9">
        <w:rPr>
          <w:rFonts w:cs="Arial"/>
          <w:b/>
          <w:bCs/>
          <w:sz w:val="22"/>
          <w:szCs w:val="22"/>
        </w:rPr>
        <w:t>21.3</w:t>
      </w:r>
      <w:r w:rsidRPr="00AD47B9">
        <w:rPr>
          <w:rFonts w:cs="Arial"/>
          <w:sz w:val="22"/>
          <w:szCs w:val="22"/>
        </w:rPr>
        <w:t xml:space="preserve"> Application</w:t>
      </w:r>
    </w:p>
    <w:p w:rsidR="00A0632F" w:rsidRPr="00AD47B9" w:rsidRDefault="00A0632F" w:rsidP="00A34A68">
      <w:pPr>
        <w:shd w:val="clear" w:color="auto" w:fill="FFFFFF"/>
        <w:spacing w:before="100" w:beforeAutospacing="1" w:after="100" w:afterAutospacing="1"/>
        <w:rPr>
          <w:rFonts w:cs="Arial"/>
          <w:sz w:val="22"/>
          <w:szCs w:val="22"/>
        </w:rPr>
      </w:pPr>
      <w:r w:rsidRPr="00AD47B9">
        <w:rPr>
          <w:rFonts w:cs="Arial"/>
          <w:sz w:val="22"/>
          <w:szCs w:val="22"/>
        </w:rPr>
        <w:t>A candidate must apply in writing to the Secretary of the Higher Doctorate Committee, stipulating the Degree for which he/she is applying and enclosing such examination fees as may be determined by Council from time to time.</w:t>
      </w:r>
    </w:p>
    <w:p w:rsidR="00A0632F" w:rsidRPr="00AD47B9" w:rsidRDefault="00A0632F" w:rsidP="00A34A68">
      <w:pPr>
        <w:shd w:val="clear" w:color="auto" w:fill="FFFFFF"/>
        <w:spacing w:before="100" w:beforeAutospacing="1" w:after="100" w:afterAutospacing="1"/>
        <w:rPr>
          <w:rFonts w:cs="Arial"/>
          <w:sz w:val="22"/>
          <w:szCs w:val="22"/>
        </w:rPr>
      </w:pPr>
      <w:r w:rsidRPr="00AD47B9">
        <w:rPr>
          <w:rFonts w:cs="Arial"/>
          <w:b/>
          <w:bCs/>
          <w:sz w:val="22"/>
          <w:szCs w:val="22"/>
        </w:rPr>
        <w:t>21.4</w:t>
      </w:r>
      <w:r w:rsidRPr="00AD47B9">
        <w:rPr>
          <w:rFonts w:cs="Arial"/>
          <w:sz w:val="22"/>
          <w:szCs w:val="22"/>
        </w:rPr>
        <w:t xml:space="preserve"> Presentation</w:t>
      </w:r>
    </w:p>
    <w:p w:rsidR="00A0632F" w:rsidRPr="00AD47B9" w:rsidRDefault="00A0632F" w:rsidP="00A34A68">
      <w:pPr>
        <w:shd w:val="clear" w:color="auto" w:fill="FFFFFF"/>
        <w:spacing w:before="100" w:beforeAutospacing="1" w:after="100" w:afterAutospacing="1"/>
        <w:rPr>
          <w:rFonts w:cs="Arial"/>
          <w:sz w:val="22"/>
          <w:szCs w:val="22"/>
        </w:rPr>
      </w:pPr>
      <w:r w:rsidRPr="00AD47B9">
        <w:rPr>
          <w:rFonts w:cs="Arial"/>
          <w:sz w:val="22"/>
          <w:szCs w:val="22"/>
        </w:rPr>
        <w:lastRenderedPageBreak/>
        <w:t>The Degree is awarded solely on the basis of published work of high merit in fields of research in which the candidate is engaged</w:t>
      </w:r>
      <w:r w:rsidRPr="00AD47B9">
        <w:rPr>
          <w:rFonts w:cs="Arial"/>
          <w:b/>
          <w:sz w:val="22"/>
          <w:szCs w:val="22"/>
        </w:rPr>
        <w:t xml:space="preserve">.  </w:t>
      </w:r>
      <w:r w:rsidRPr="00AD47B9">
        <w:rPr>
          <w:rFonts w:cs="Arial"/>
          <w:sz w:val="22"/>
          <w:szCs w:val="22"/>
          <w:u w:val="single"/>
        </w:rPr>
        <w:t>The publications should indicate command over a field of study and a sustained contribution to understanding within that field.</w:t>
      </w:r>
      <w:r w:rsidRPr="00AD47B9">
        <w:rPr>
          <w:rFonts w:cs="Arial"/>
          <w:sz w:val="22"/>
          <w:szCs w:val="22"/>
        </w:rPr>
        <w:t xml:space="preserve"> Three copies must be submitted of books or work published in journals which the candidate wishes to be taken into consideration. Exceptionally, and at the Committee’s discretion, work of more limited circulation may be taken into consideration.</w:t>
      </w:r>
    </w:p>
    <w:p w:rsidR="00A0632F" w:rsidRPr="00AD47B9" w:rsidRDefault="00A0632F" w:rsidP="00A34A68">
      <w:pPr>
        <w:shd w:val="clear" w:color="auto" w:fill="FFFFFF"/>
        <w:spacing w:before="100" w:beforeAutospacing="1" w:after="100" w:afterAutospacing="1"/>
        <w:rPr>
          <w:rFonts w:cs="Arial"/>
          <w:sz w:val="22"/>
          <w:szCs w:val="22"/>
        </w:rPr>
      </w:pPr>
      <w:r w:rsidRPr="00AD47B9">
        <w:rPr>
          <w:rFonts w:cs="Arial"/>
          <w:sz w:val="22"/>
          <w:szCs w:val="22"/>
        </w:rPr>
        <w:t>There must also be submitted a statement containing:</w:t>
      </w:r>
    </w:p>
    <w:p w:rsidR="00A0632F" w:rsidRPr="00AD47B9" w:rsidRDefault="00A0632F" w:rsidP="00026A5B">
      <w:pPr>
        <w:numPr>
          <w:ilvl w:val="0"/>
          <w:numId w:val="1"/>
        </w:numPr>
        <w:shd w:val="clear" w:color="auto" w:fill="FFFFFF"/>
        <w:tabs>
          <w:tab w:val="clear" w:pos="720"/>
        </w:tabs>
        <w:spacing w:before="96"/>
        <w:ind w:left="1276" w:hanging="1276"/>
        <w:rPr>
          <w:rFonts w:cs="Arial"/>
          <w:sz w:val="22"/>
          <w:szCs w:val="22"/>
        </w:rPr>
      </w:pPr>
      <w:r w:rsidRPr="00AD47B9">
        <w:rPr>
          <w:rFonts w:cs="Arial"/>
          <w:sz w:val="22"/>
          <w:szCs w:val="22"/>
        </w:rPr>
        <w:t xml:space="preserve">a list of the candidate’s publications in which are marked those which contain the main substance of the submission; </w:t>
      </w:r>
    </w:p>
    <w:p w:rsidR="00A0632F" w:rsidRPr="00AD47B9" w:rsidRDefault="00A0632F" w:rsidP="00026A5B">
      <w:pPr>
        <w:numPr>
          <w:ilvl w:val="0"/>
          <w:numId w:val="1"/>
        </w:numPr>
        <w:shd w:val="clear" w:color="auto" w:fill="FFFFFF"/>
        <w:tabs>
          <w:tab w:val="clear" w:pos="720"/>
        </w:tabs>
        <w:spacing w:before="96"/>
        <w:ind w:left="1276" w:hanging="1276"/>
        <w:rPr>
          <w:rFonts w:cs="Arial"/>
          <w:strike/>
          <w:sz w:val="22"/>
          <w:szCs w:val="22"/>
        </w:rPr>
      </w:pPr>
      <w:r w:rsidRPr="00AD47B9">
        <w:rPr>
          <w:rFonts w:cs="Arial"/>
          <w:sz w:val="22"/>
          <w:szCs w:val="22"/>
        </w:rPr>
        <w:t xml:space="preserve">a </w:t>
      </w:r>
      <w:r w:rsidRPr="00AD47B9">
        <w:rPr>
          <w:rFonts w:cs="Arial"/>
          <w:strike/>
          <w:sz w:val="22"/>
          <w:szCs w:val="22"/>
        </w:rPr>
        <w:t xml:space="preserve">brief guide </w:t>
      </w:r>
      <w:r w:rsidRPr="00AD47B9">
        <w:rPr>
          <w:rFonts w:cs="Arial"/>
          <w:sz w:val="22"/>
          <w:szCs w:val="22"/>
          <w:u w:val="single"/>
        </w:rPr>
        <w:t>synopsis of not less</w:t>
      </w:r>
      <w:r w:rsidRPr="00AD47B9">
        <w:rPr>
          <w:rFonts w:cs="Arial"/>
          <w:b/>
          <w:sz w:val="22"/>
          <w:szCs w:val="22"/>
        </w:rPr>
        <w:t xml:space="preserve"> </w:t>
      </w:r>
      <w:r w:rsidRPr="00AD47B9">
        <w:rPr>
          <w:rFonts w:cs="Arial"/>
          <w:sz w:val="22"/>
          <w:szCs w:val="22"/>
          <w:u w:val="single"/>
        </w:rPr>
        <w:t>than</w:t>
      </w:r>
      <w:r w:rsidRPr="00AD47B9">
        <w:rPr>
          <w:rFonts w:cs="Arial"/>
          <w:b/>
          <w:sz w:val="22"/>
          <w:szCs w:val="22"/>
        </w:rPr>
        <w:t xml:space="preserve"> </w:t>
      </w:r>
      <w:r w:rsidRPr="00AD47B9">
        <w:rPr>
          <w:rFonts w:cs="Arial"/>
          <w:sz w:val="22"/>
          <w:szCs w:val="22"/>
          <w:u w:val="single"/>
        </w:rPr>
        <w:t>1000 words</w:t>
      </w:r>
      <w:r w:rsidRPr="00AD47B9">
        <w:rPr>
          <w:rFonts w:cs="Arial"/>
          <w:sz w:val="22"/>
          <w:szCs w:val="22"/>
        </w:rPr>
        <w:t xml:space="preserve"> </w:t>
      </w:r>
      <w:r w:rsidRPr="00AD47B9">
        <w:rPr>
          <w:rFonts w:cs="Arial"/>
          <w:sz w:val="22"/>
          <w:szCs w:val="22"/>
          <w:u w:val="single"/>
        </w:rPr>
        <w:t>which describes how the sustained contribution to the field of study has been made with due reference to the marked publications</w:t>
      </w:r>
      <w:r w:rsidRPr="00AD47B9">
        <w:rPr>
          <w:rFonts w:cs="Arial"/>
          <w:sz w:val="22"/>
          <w:szCs w:val="22"/>
        </w:rPr>
        <w:t xml:space="preserve">  </w:t>
      </w:r>
      <w:r w:rsidRPr="00AD47B9">
        <w:rPr>
          <w:rFonts w:cs="Arial"/>
          <w:strike/>
          <w:sz w:val="22"/>
          <w:szCs w:val="22"/>
        </w:rPr>
        <w:t xml:space="preserve">to the nature and importance of the publications so marked; </w:t>
      </w:r>
    </w:p>
    <w:p w:rsidR="00A0632F" w:rsidRPr="00AD47B9" w:rsidRDefault="00A0632F" w:rsidP="00026A5B">
      <w:pPr>
        <w:numPr>
          <w:ilvl w:val="0"/>
          <w:numId w:val="1"/>
        </w:numPr>
        <w:shd w:val="clear" w:color="auto" w:fill="FFFFFF"/>
        <w:tabs>
          <w:tab w:val="clear" w:pos="720"/>
        </w:tabs>
        <w:spacing w:before="96"/>
        <w:ind w:left="1276" w:hanging="1276"/>
        <w:rPr>
          <w:rFonts w:cs="Arial"/>
          <w:sz w:val="22"/>
          <w:szCs w:val="22"/>
        </w:rPr>
      </w:pPr>
      <w:r w:rsidRPr="00AD47B9">
        <w:rPr>
          <w:rFonts w:cs="Arial"/>
          <w:sz w:val="22"/>
          <w:szCs w:val="22"/>
        </w:rPr>
        <w:t xml:space="preserve">a declaration of the nature and extent of the candidate’s own contribution, and that of co-authors and collaborators, to each of the publications submitted; </w:t>
      </w:r>
    </w:p>
    <w:p w:rsidR="00A0632F" w:rsidRPr="00AD47B9" w:rsidRDefault="00A0632F" w:rsidP="00026A5B">
      <w:pPr>
        <w:numPr>
          <w:ilvl w:val="0"/>
          <w:numId w:val="1"/>
        </w:numPr>
        <w:shd w:val="clear" w:color="auto" w:fill="FFFFFF"/>
        <w:tabs>
          <w:tab w:val="clear" w:pos="720"/>
        </w:tabs>
        <w:spacing w:before="96"/>
        <w:ind w:left="1276" w:hanging="1276"/>
        <w:rPr>
          <w:rFonts w:cs="Arial"/>
          <w:sz w:val="22"/>
          <w:szCs w:val="22"/>
        </w:rPr>
      </w:pPr>
      <w:proofErr w:type="gramStart"/>
      <w:r w:rsidRPr="00AD47B9">
        <w:rPr>
          <w:rFonts w:cs="Arial"/>
          <w:sz w:val="22"/>
          <w:szCs w:val="22"/>
        </w:rPr>
        <w:t>a</w:t>
      </w:r>
      <w:proofErr w:type="gramEnd"/>
      <w:r w:rsidRPr="00AD47B9">
        <w:rPr>
          <w:rFonts w:cs="Arial"/>
          <w:sz w:val="22"/>
          <w:szCs w:val="22"/>
        </w:rPr>
        <w:t xml:space="preserve"> declaration of what part of the publications, if any, has been submitted by the candidate, or collaborators, for a degree of this or any other university, or of any professional body or learned society. </w:t>
      </w:r>
    </w:p>
    <w:p w:rsidR="00A0632F" w:rsidRPr="00AD47B9" w:rsidRDefault="00A0632F" w:rsidP="00BF3B76">
      <w:pPr>
        <w:shd w:val="clear" w:color="auto" w:fill="FFFFFF"/>
        <w:spacing w:before="96"/>
        <w:rPr>
          <w:rFonts w:cs="Arial"/>
          <w:sz w:val="22"/>
          <w:szCs w:val="22"/>
        </w:rPr>
      </w:pPr>
    </w:p>
    <w:p w:rsidR="00A0632F" w:rsidRPr="00AD47B9" w:rsidRDefault="00A0632F" w:rsidP="00BF3B76">
      <w:pPr>
        <w:shd w:val="clear" w:color="auto" w:fill="FFFFFF"/>
        <w:spacing w:before="96"/>
        <w:rPr>
          <w:rFonts w:cs="Arial"/>
          <w:sz w:val="22"/>
          <w:szCs w:val="22"/>
          <w:u w:val="single"/>
        </w:rPr>
      </w:pPr>
      <w:r w:rsidRPr="00AD47B9">
        <w:rPr>
          <w:rFonts w:cs="Arial"/>
          <w:sz w:val="22"/>
          <w:szCs w:val="22"/>
          <w:u w:val="single"/>
        </w:rPr>
        <w:t xml:space="preserve">On the basis of items 1-4 the Higher Doctorates Committee shall consider whether there </w:t>
      </w:r>
      <w:proofErr w:type="gramStart"/>
      <w:r w:rsidRPr="00AD47B9">
        <w:rPr>
          <w:rFonts w:cs="Arial"/>
          <w:sz w:val="22"/>
          <w:szCs w:val="22"/>
          <w:u w:val="single"/>
        </w:rPr>
        <w:t>is  a</w:t>
      </w:r>
      <w:proofErr w:type="gramEnd"/>
      <w:r w:rsidRPr="00AD47B9">
        <w:rPr>
          <w:rFonts w:cs="Arial"/>
          <w:sz w:val="22"/>
          <w:szCs w:val="22"/>
          <w:u w:val="single"/>
        </w:rPr>
        <w:t xml:space="preserve"> prima facie case for the submission to proceed.</w:t>
      </w:r>
    </w:p>
    <w:p w:rsidR="00A0632F" w:rsidRPr="00AD47B9" w:rsidRDefault="00A0632F" w:rsidP="00A34A68">
      <w:pPr>
        <w:shd w:val="clear" w:color="auto" w:fill="FFFFFF"/>
        <w:spacing w:before="100" w:beforeAutospacing="1" w:after="100" w:afterAutospacing="1"/>
        <w:rPr>
          <w:rFonts w:cs="Arial"/>
          <w:sz w:val="22"/>
          <w:szCs w:val="22"/>
        </w:rPr>
      </w:pPr>
      <w:r w:rsidRPr="00AD47B9">
        <w:rPr>
          <w:rFonts w:cs="Arial"/>
          <w:b/>
          <w:bCs/>
          <w:sz w:val="22"/>
          <w:szCs w:val="22"/>
        </w:rPr>
        <w:t>21.5</w:t>
      </w:r>
      <w:r w:rsidRPr="00AD47B9">
        <w:rPr>
          <w:rFonts w:cs="Arial"/>
          <w:sz w:val="22"/>
          <w:szCs w:val="22"/>
        </w:rPr>
        <w:t xml:space="preserve"> Examination</w:t>
      </w:r>
    </w:p>
    <w:p w:rsidR="00A0632F" w:rsidRPr="00AD47B9" w:rsidRDefault="00A0632F" w:rsidP="00A34A68">
      <w:pPr>
        <w:shd w:val="clear" w:color="auto" w:fill="FFFFFF"/>
        <w:spacing w:before="100" w:beforeAutospacing="1" w:after="100" w:afterAutospacing="1"/>
        <w:rPr>
          <w:rFonts w:cs="Arial"/>
          <w:sz w:val="22"/>
          <w:szCs w:val="22"/>
          <w:u w:val="single"/>
        </w:rPr>
      </w:pPr>
      <w:r w:rsidRPr="00AD47B9">
        <w:rPr>
          <w:rFonts w:cs="Arial"/>
          <w:sz w:val="22"/>
          <w:szCs w:val="22"/>
          <w:u w:val="single"/>
        </w:rPr>
        <w:t xml:space="preserve">The candidate may be invited to identify possible Examiners for the submission, but the University reserves the right to select the </w:t>
      </w:r>
      <w:proofErr w:type="gramStart"/>
      <w:r w:rsidRPr="00AD47B9">
        <w:rPr>
          <w:rFonts w:cs="Arial"/>
          <w:sz w:val="22"/>
          <w:szCs w:val="22"/>
          <w:u w:val="single"/>
        </w:rPr>
        <w:t>Examiners ,</w:t>
      </w:r>
      <w:proofErr w:type="gramEnd"/>
      <w:r w:rsidRPr="00AD47B9">
        <w:rPr>
          <w:rFonts w:cs="Arial"/>
          <w:sz w:val="22"/>
          <w:szCs w:val="22"/>
          <w:u w:val="single"/>
        </w:rPr>
        <w:t xml:space="preserve"> taking appropriate advice on their suitability. The Examiners are expected to have expert knowledge of the field</w:t>
      </w:r>
      <w:r w:rsidRPr="00AD47B9">
        <w:rPr>
          <w:rFonts w:cs="Arial"/>
          <w:b/>
          <w:sz w:val="22"/>
          <w:szCs w:val="22"/>
        </w:rPr>
        <w:t xml:space="preserve"> </w:t>
      </w:r>
      <w:r w:rsidRPr="00AD47B9">
        <w:rPr>
          <w:rFonts w:cs="Arial"/>
          <w:sz w:val="22"/>
          <w:szCs w:val="22"/>
          <w:u w:val="single"/>
        </w:rPr>
        <w:t>and normally will possess a higher doctorate themselves.</w:t>
      </w:r>
    </w:p>
    <w:p w:rsidR="00A0632F" w:rsidRPr="00AD47B9" w:rsidRDefault="00A0632F" w:rsidP="00A34A68">
      <w:pPr>
        <w:shd w:val="clear" w:color="auto" w:fill="FFFFFF"/>
        <w:spacing w:before="100" w:beforeAutospacing="1" w:after="100" w:afterAutospacing="1"/>
        <w:rPr>
          <w:rFonts w:cs="Arial"/>
          <w:sz w:val="22"/>
          <w:szCs w:val="22"/>
        </w:rPr>
      </w:pPr>
      <w:r w:rsidRPr="00AD47B9">
        <w:rPr>
          <w:rFonts w:cs="Arial"/>
          <w:sz w:val="22"/>
          <w:szCs w:val="22"/>
        </w:rPr>
        <w:t>Three External Examiners will be appointed by the Committee who will take into consideration primarily those publications which are defined by the candidate as containing the main substance of the submission. Each Examiner, separately will report to the Committee his/her assessment of the work submitted and the Committee, having considered the advice of the Examiners will, if it thinks fit, recommend to Senate that a degree be awarded.</w:t>
      </w:r>
    </w:p>
    <w:p w:rsidR="00A0632F" w:rsidRPr="00AD47B9" w:rsidRDefault="00A0632F" w:rsidP="00A34A68">
      <w:pPr>
        <w:shd w:val="clear" w:color="auto" w:fill="FFFFFF"/>
        <w:spacing w:before="100" w:beforeAutospacing="1" w:after="100" w:afterAutospacing="1"/>
        <w:rPr>
          <w:rFonts w:cs="Arial"/>
          <w:sz w:val="22"/>
          <w:szCs w:val="22"/>
          <w:u w:val="single"/>
        </w:rPr>
      </w:pPr>
      <w:r w:rsidRPr="00AD47B9">
        <w:rPr>
          <w:rFonts w:cs="Arial"/>
          <w:sz w:val="22"/>
          <w:szCs w:val="22"/>
          <w:u w:val="single"/>
        </w:rPr>
        <w:t xml:space="preserve">The Higher Doctorates Committee shall recommend the </w:t>
      </w:r>
      <w:proofErr w:type="gramStart"/>
      <w:r w:rsidRPr="00AD47B9">
        <w:rPr>
          <w:rFonts w:cs="Arial"/>
          <w:sz w:val="22"/>
          <w:szCs w:val="22"/>
          <w:u w:val="single"/>
        </w:rPr>
        <w:t>award  of</w:t>
      </w:r>
      <w:proofErr w:type="gramEnd"/>
      <w:r w:rsidRPr="00AD47B9">
        <w:rPr>
          <w:rFonts w:cs="Arial"/>
          <w:sz w:val="22"/>
          <w:szCs w:val="22"/>
          <w:u w:val="single"/>
        </w:rPr>
        <w:t xml:space="preserve"> a higher doctorate on the basis of the unanimous recommendation of the Examiners.  In the event that the Committee is unable to make a recommendation, they may, if appropriate, recommend that the candidate revises the submission and makes a further submission</w:t>
      </w:r>
      <w:r w:rsidRPr="00AD47B9">
        <w:rPr>
          <w:rFonts w:cs="Arial"/>
          <w:b/>
          <w:sz w:val="22"/>
          <w:szCs w:val="22"/>
          <w:u w:val="single"/>
        </w:rPr>
        <w:t xml:space="preserve"> </w:t>
      </w:r>
      <w:r w:rsidRPr="00AD47B9">
        <w:rPr>
          <w:rFonts w:cs="Arial"/>
          <w:sz w:val="22"/>
          <w:szCs w:val="22"/>
          <w:u w:val="single"/>
        </w:rPr>
        <w:t xml:space="preserve">to a new examination team after an interval of not less than two years  </w:t>
      </w:r>
    </w:p>
    <w:p w:rsidR="00A0632F" w:rsidRPr="00AD47B9" w:rsidRDefault="00A0632F" w:rsidP="00A34A68">
      <w:pPr>
        <w:shd w:val="clear" w:color="auto" w:fill="FFFFFF"/>
        <w:spacing w:before="100" w:beforeAutospacing="1" w:after="100" w:afterAutospacing="1"/>
        <w:rPr>
          <w:rFonts w:cs="Arial"/>
          <w:sz w:val="22"/>
          <w:szCs w:val="22"/>
        </w:rPr>
      </w:pPr>
      <w:r w:rsidRPr="00AD47B9">
        <w:rPr>
          <w:rFonts w:cs="Arial"/>
          <w:b/>
          <w:bCs/>
          <w:sz w:val="22"/>
          <w:szCs w:val="22"/>
        </w:rPr>
        <w:t>21.6</w:t>
      </w:r>
      <w:r w:rsidRPr="00AD47B9">
        <w:rPr>
          <w:rFonts w:cs="Arial"/>
          <w:sz w:val="22"/>
          <w:szCs w:val="22"/>
        </w:rPr>
        <w:t xml:space="preserve"> Retention of Publications</w:t>
      </w:r>
    </w:p>
    <w:p w:rsidR="00A0632F" w:rsidRPr="00AD47B9" w:rsidRDefault="00A0632F" w:rsidP="00A34A68">
      <w:pPr>
        <w:shd w:val="clear" w:color="auto" w:fill="FFFFFF"/>
        <w:spacing w:before="100" w:beforeAutospacing="1" w:after="100" w:afterAutospacing="1"/>
        <w:rPr>
          <w:rFonts w:cs="Arial"/>
          <w:sz w:val="22"/>
          <w:szCs w:val="22"/>
        </w:rPr>
      </w:pPr>
      <w:r w:rsidRPr="00AD47B9">
        <w:rPr>
          <w:rFonts w:cs="Arial"/>
          <w:sz w:val="22"/>
          <w:szCs w:val="22"/>
        </w:rPr>
        <w:t xml:space="preserve">The University reserves the right to retain two copies of any successful submission in the University Library. The remaining </w:t>
      </w:r>
      <w:proofErr w:type="gramStart"/>
      <w:r w:rsidRPr="00AD47B9">
        <w:rPr>
          <w:rFonts w:cs="Arial"/>
          <w:sz w:val="22"/>
          <w:szCs w:val="22"/>
        </w:rPr>
        <w:t>copy,</w:t>
      </w:r>
      <w:proofErr w:type="gramEnd"/>
      <w:r w:rsidRPr="00AD47B9">
        <w:rPr>
          <w:rFonts w:cs="Arial"/>
          <w:sz w:val="22"/>
          <w:szCs w:val="22"/>
        </w:rPr>
        <w:t xml:space="preserve"> or unsuccessful submissions will be returned to the candidate. </w:t>
      </w:r>
    </w:p>
    <w:p w:rsidR="00AD47B9" w:rsidRDefault="00AD47B9" w:rsidP="00A34A68">
      <w:pPr>
        <w:shd w:val="clear" w:color="auto" w:fill="FFFFFF"/>
        <w:spacing w:before="100" w:beforeAutospacing="1" w:after="100" w:afterAutospacing="1"/>
        <w:outlineLvl w:val="2"/>
        <w:rPr>
          <w:rFonts w:cs="Arial"/>
          <w:b/>
          <w:bCs/>
          <w:color w:val="330066"/>
          <w:sz w:val="22"/>
          <w:szCs w:val="22"/>
        </w:rPr>
      </w:pPr>
      <w:bookmarkStart w:id="1" w:name="p22"/>
      <w:bookmarkEnd w:id="1"/>
    </w:p>
    <w:p w:rsidR="00A0632F" w:rsidRPr="00AD47B9" w:rsidRDefault="00A0632F" w:rsidP="00A34A68">
      <w:pPr>
        <w:shd w:val="clear" w:color="auto" w:fill="FFFFFF"/>
        <w:spacing w:before="100" w:beforeAutospacing="1" w:after="100" w:afterAutospacing="1"/>
        <w:outlineLvl w:val="2"/>
        <w:rPr>
          <w:rFonts w:cs="Arial"/>
          <w:b/>
          <w:bCs/>
          <w:color w:val="330066"/>
          <w:sz w:val="22"/>
          <w:szCs w:val="22"/>
        </w:rPr>
      </w:pPr>
      <w:r w:rsidRPr="00AD47B9">
        <w:rPr>
          <w:rFonts w:cs="Arial"/>
          <w:b/>
          <w:bCs/>
          <w:color w:val="330066"/>
          <w:sz w:val="22"/>
          <w:szCs w:val="22"/>
        </w:rPr>
        <w:t>22. Interpretation</w:t>
      </w:r>
    </w:p>
    <w:p w:rsidR="00A0632F" w:rsidRPr="00AD47B9" w:rsidRDefault="00A0632F" w:rsidP="00A34A68">
      <w:pPr>
        <w:shd w:val="clear" w:color="auto" w:fill="FFFFFF"/>
        <w:spacing w:before="100" w:beforeAutospacing="1" w:after="100" w:afterAutospacing="1"/>
        <w:rPr>
          <w:rFonts w:cs="Arial"/>
          <w:sz w:val="22"/>
          <w:szCs w:val="22"/>
        </w:rPr>
      </w:pPr>
      <w:r w:rsidRPr="00AD47B9">
        <w:rPr>
          <w:rFonts w:cs="Arial"/>
          <w:sz w:val="22"/>
          <w:szCs w:val="22"/>
        </w:rPr>
        <w:t>The interpretation of these Regulations, in the case of disagreement, shall be the responsibility of the Academic Registrar.</w:t>
      </w:r>
      <w:r w:rsidRPr="00AD47B9">
        <w:rPr>
          <w:rFonts w:cs="Arial"/>
          <w:sz w:val="22"/>
          <w:szCs w:val="22"/>
        </w:rPr>
        <w:br/>
        <w:t xml:space="preserve">These Regulations should be read in conjunction with University Codes of Practice. </w:t>
      </w:r>
    </w:p>
    <w:p w:rsidR="00A0632F" w:rsidRPr="00AD47B9" w:rsidRDefault="00A0632F" w:rsidP="00A34A68">
      <w:pPr>
        <w:shd w:val="clear" w:color="auto" w:fill="FFFFFF"/>
        <w:spacing w:before="100" w:beforeAutospacing="1" w:after="100" w:afterAutospacing="1"/>
        <w:rPr>
          <w:rFonts w:cs="Arial"/>
          <w:sz w:val="22"/>
          <w:szCs w:val="22"/>
        </w:rPr>
      </w:pPr>
      <w:r w:rsidRPr="00AD47B9">
        <w:rPr>
          <w:rFonts w:cs="Arial"/>
          <w:sz w:val="22"/>
          <w:szCs w:val="22"/>
        </w:rPr>
        <w:t xml:space="preserve">(Remade November 2009) </w:t>
      </w:r>
    </w:p>
    <w:p w:rsidR="00A0632F" w:rsidRPr="00AD47B9" w:rsidRDefault="00A0632F">
      <w:pPr>
        <w:rPr>
          <w:sz w:val="22"/>
          <w:szCs w:val="22"/>
        </w:rPr>
      </w:pPr>
    </w:p>
    <w:sectPr w:rsidR="00A0632F" w:rsidRPr="00AD47B9" w:rsidSect="00940A94">
      <w:headerReference w:type="default" r:id="rId8"/>
      <w:headerReference w:type="first" r:id="rId9"/>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32F" w:rsidRDefault="00A0632F" w:rsidP="00176B64">
      <w:r>
        <w:separator/>
      </w:r>
    </w:p>
  </w:endnote>
  <w:endnote w:type="continuationSeparator" w:id="0">
    <w:p w:rsidR="00A0632F" w:rsidRDefault="00A0632F" w:rsidP="00176B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32F" w:rsidRDefault="00A0632F" w:rsidP="00176B64">
      <w:r>
        <w:separator/>
      </w:r>
    </w:p>
  </w:footnote>
  <w:footnote w:type="continuationSeparator" w:id="0">
    <w:p w:rsidR="00A0632F" w:rsidRDefault="00A0632F" w:rsidP="00176B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A94" w:rsidRDefault="00940A94">
    <w:pPr>
      <w:pStyle w:val="Header"/>
    </w:pPr>
  </w:p>
  <w:p w:rsidR="00A0632F" w:rsidRDefault="00A063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A94" w:rsidRPr="00940A94" w:rsidRDefault="00940A94" w:rsidP="00940A94">
    <w:pPr>
      <w:pStyle w:val="Header"/>
      <w:jc w:val="right"/>
      <w:rPr>
        <w:sz w:val="22"/>
        <w:szCs w:val="22"/>
      </w:rPr>
    </w:pPr>
    <w:r w:rsidRPr="00940A94">
      <w:rPr>
        <w:sz w:val="22"/>
        <w:szCs w:val="22"/>
      </w:rPr>
      <w:t>SEN10-P</w:t>
    </w:r>
    <w:r w:rsidR="00BB442E">
      <w:rPr>
        <w:sz w:val="22"/>
        <w:szCs w:val="22"/>
      </w:rPr>
      <w:t>61</w:t>
    </w:r>
  </w:p>
  <w:p w:rsidR="00940A94" w:rsidRPr="00940A94" w:rsidRDefault="00940A94" w:rsidP="00940A94">
    <w:pPr>
      <w:pStyle w:val="Header"/>
      <w:jc w:val="right"/>
      <w:rPr>
        <w:sz w:val="22"/>
        <w:szCs w:val="22"/>
      </w:rPr>
    </w:pPr>
    <w:r w:rsidRPr="00940A94">
      <w:rPr>
        <w:sz w:val="22"/>
        <w:szCs w:val="22"/>
      </w:rPr>
      <w:t>30 June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83E98"/>
    <w:multiLevelType w:val="multilevel"/>
    <w:tmpl w:val="246463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34A68"/>
    <w:rsid w:val="0002290D"/>
    <w:rsid w:val="00026A5B"/>
    <w:rsid w:val="00035B28"/>
    <w:rsid w:val="000833BA"/>
    <w:rsid w:val="00093C81"/>
    <w:rsid w:val="000A000D"/>
    <w:rsid w:val="000B6D68"/>
    <w:rsid w:val="00152C4C"/>
    <w:rsid w:val="00176B64"/>
    <w:rsid w:val="001919FF"/>
    <w:rsid w:val="001F7930"/>
    <w:rsid w:val="00235422"/>
    <w:rsid w:val="002B4723"/>
    <w:rsid w:val="00346715"/>
    <w:rsid w:val="00355638"/>
    <w:rsid w:val="003C0F72"/>
    <w:rsid w:val="004D6A0A"/>
    <w:rsid w:val="00565608"/>
    <w:rsid w:val="005B0A21"/>
    <w:rsid w:val="005C2865"/>
    <w:rsid w:val="005F38AF"/>
    <w:rsid w:val="00637E31"/>
    <w:rsid w:val="006765B1"/>
    <w:rsid w:val="006C0191"/>
    <w:rsid w:val="006E082E"/>
    <w:rsid w:val="007868EB"/>
    <w:rsid w:val="007A0DEF"/>
    <w:rsid w:val="00810D10"/>
    <w:rsid w:val="00817AFB"/>
    <w:rsid w:val="00866812"/>
    <w:rsid w:val="008858D2"/>
    <w:rsid w:val="008A75FA"/>
    <w:rsid w:val="00940A94"/>
    <w:rsid w:val="009A6792"/>
    <w:rsid w:val="00A0632F"/>
    <w:rsid w:val="00A103CC"/>
    <w:rsid w:val="00A32D62"/>
    <w:rsid w:val="00A34A68"/>
    <w:rsid w:val="00A87B2D"/>
    <w:rsid w:val="00AA3528"/>
    <w:rsid w:val="00AB6270"/>
    <w:rsid w:val="00AD47B9"/>
    <w:rsid w:val="00AD5019"/>
    <w:rsid w:val="00AE7461"/>
    <w:rsid w:val="00AF0E55"/>
    <w:rsid w:val="00AF53A9"/>
    <w:rsid w:val="00AF72EA"/>
    <w:rsid w:val="00BA3886"/>
    <w:rsid w:val="00BB442E"/>
    <w:rsid w:val="00BC1276"/>
    <w:rsid w:val="00BF3B76"/>
    <w:rsid w:val="00C56640"/>
    <w:rsid w:val="00CA6B2B"/>
    <w:rsid w:val="00CE5F99"/>
    <w:rsid w:val="00E22DBC"/>
    <w:rsid w:val="00E64AE5"/>
    <w:rsid w:val="00E769C0"/>
    <w:rsid w:val="00ED277E"/>
    <w:rsid w:val="00ED7418"/>
    <w:rsid w:val="00F67F01"/>
    <w:rsid w:val="00FD7B8E"/>
    <w:rsid w:val="00FF73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3BA"/>
    <w:rPr>
      <w:rFonts w:ascii="Arial" w:hAnsi="Arial"/>
      <w:sz w:val="24"/>
      <w:szCs w:val="24"/>
    </w:rPr>
  </w:style>
  <w:style w:type="paragraph" w:styleId="Heading3">
    <w:name w:val="heading 3"/>
    <w:basedOn w:val="Normal"/>
    <w:link w:val="Heading3Char"/>
    <w:uiPriority w:val="99"/>
    <w:qFormat/>
    <w:rsid w:val="00A34A68"/>
    <w:pPr>
      <w:spacing w:before="100" w:beforeAutospacing="1" w:after="100" w:afterAutospacing="1"/>
      <w:outlineLvl w:val="2"/>
    </w:pPr>
    <w:rPr>
      <w:rFonts w:cs="Arial"/>
      <w:b/>
      <w:bCs/>
      <w:color w:val="330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B417C"/>
    <w:rPr>
      <w:rFonts w:asciiTheme="majorHAnsi" w:eastAsiaTheme="majorEastAsia" w:hAnsiTheme="majorHAnsi" w:cstheme="majorBidi"/>
      <w:b/>
      <w:bCs/>
      <w:sz w:val="26"/>
      <w:szCs w:val="26"/>
    </w:rPr>
  </w:style>
  <w:style w:type="character" w:styleId="Hyperlink">
    <w:name w:val="Hyperlink"/>
    <w:basedOn w:val="DefaultParagraphFont"/>
    <w:uiPriority w:val="99"/>
    <w:rsid w:val="00A34A68"/>
    <w:rPr>
      <w:rFonts w:cs="Times New Roman"/>
      <w:color w:val="3300AA"/>
      <w:u w:val="single"/>
    </w:rPr>
  </w:style>
  <w:style w:type="character" w:styleId="Strong">
    <w:name w:val="Strong"/>
    <w:basedOn w:val="DefaultParagraphFont"/>
    <w:uiPriority w:val="99"/>
    <w:qFormat/>
    <w:rsid w:val="00A34A68"/>
    <w:rPr>
      <w:rFonts w:cs="Times New Roman"/>
      <w:b/>
      <w:bCs/>
    </w:rPr>
  </w:style>
  <w:style w:type="paragraph" w:styleId="NormalWeb">
    <w:name w:val="Normal (Web)"/>
    <w:basedOn w:val="Normal"/>
    <w:uiPriority w:val="99"/>
    <w:rsid w:val="00A34A68"/>
    <w:pPr>
      <w:spacing w:before="100" w:beforeAutospacing="1" w:after="100" w:afterAutospacing="1"/>
    </w:pPr>
    <w:rPr>
      <w:rFonts w:cs="Arial"/>
    </w:rPr>
  </w:style>
  <w:style w:type="paragraph" w:styleId="Header">
    <w:name w:val="header"/>
    <w:basedOn w:val="Normal"/>
    <w:link w:val="HeaderChar"/>
    <w:uiPriority w:val="99"/>
    <w:rsid w:val="00176B64"/>
    <w:pPr>
      <w:tabs>
        <w:tab w:val="center" w:pos="4513"/>
        <w:tab w:val="right" w:pos="9026"/>
      </w:tabs>
    </w:pPr>
  </w:style>
  <w:style w:type="character" w:customStyle="1" w:styleId="HeaderChar">
    <w:name w:val="Header Char"/>
    <w:basedOn w:val="DefaultParagraphFont"/>
    <w:link w:val="Header"/>
    <w:uiPriority w:val="99"/>
    <w:locked/>
    <w:rsid w:val="00176B64"/>
    <w:rPr>
      <w:rFonts w:ascii="Arial" w:hAnsi="Arial" w:cs="Times New Roman"/>
      <w:sz w:val="24"/>
      <w:szCs w:val="24"/>
    </w:rPr>
  </w:style>
  <w:style w:type="paragraph" w:styleId="Footer">
    <w:name w:val="footer"/>
    <w:basedOn w:val="Normal"/>
    <w:link w:val="FooterChar"/>
    <w:uiPriority w:val="99"/>
    <w:rsid w:val="00176B64"/>
    <w:pPr>
      <w:tabs>
        <w:tab w:val="center" w:pos="4513"/>
        <w:tab w:val="right" w:pos="9026"/>
      </w:tabs>
    </w:pPr>
  </w:style>
  <w:style w:type="character" w:customStyle="1" w:styleId="FooterChar">
    <w:name w:val="Footer Char"/>
    <w:basedOn w:val="DefaultParagraphFont"/>
    <w:link w:val="Footer"/>
    <w:uiPriority w:val="99"/>
    <w:locked/>
    <w:rsid w:val="00176B64"/>
    <w:rPr>
      <w:rFonts w:ascii="Arial" w:hAnsi="Arial" w:cs="Times New Roman"/>
      <w:sz w:val="24"/>
      <w:szCs w:val="24"/>
    </w:rPr>
  </w:style>
  <w:style w:type="paragraph" w:styleId="BalloonText">
    <w:name w:val="Balloon Text"/>
    <w:basedOn w:val="Normal"/>
    <w:link w:val="BalloonTextChar"/>
    <w:uiPriority w:val="99"/>
    <w:rsid w:val="00176B64"/>
    <w:rPr>
      <w:rFonts w:ascii="Tahoma" w:hAnsi="Tahoma" w:cs="Tahoma"/>
      <w:sz w:val="16"/>
      <w:szCs w:val="16"/>
    </w:rPr>
  </w:style>
  <w:style w:type="character" w:customStyle="1" w:styleId="BalloonTextChar">
    <w:name w:val="Balloon Text Char"/>
    <w:basedOn w:val="DefaultParagraphFont"/>
    <w:link w:val="BalloonText"/>
    <w:uiPriority w:val="99"/>
    <w:locked/>
    <w:rsid w:val="00176B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7915791">
      <w:marLeft w:val="0"/>
      <w:marRight w:val="0"/>
      <w:marTop w:val="0"/>
      <w:marBottom w:val="0"/>
      <w:divBdr>
        <w:top w:val="none" w:sz="0" w:space="0" w:color="auto"/>
        <w:left w:val="none" w:sz="0" w:space="0" w:color="auto"/>
        <w:bottom w:val="none" w:sz="0" w:space="0" w:color="auto"/>
        <w:right w:val="none" w:sz="0" w:space="0" w:color="auto"/>
      </w:divBdr>
      <w:divsChild>
        <w:div w:id="2087915789">
          <w:marLeft w:val="0"/>
          <w:marRight w:val="0"/>
          <w:marTop w:val="0"/>
          <w:marBottom w:val="0"/>
          <w:divBdr>
            <w:top w:val="none" w:sz="0" w:space="0" w:color="auto"/>
            <w:left w:val="none" w:sz="0" w:space="0" w:color="auto"/>
            <w:bottom w:val="none" w:sz="0" w:space="0" w:color="auto"/>
            <w:right w:val="none" w:sz="0" w:space="0" w:color="auto"/>
          </w:divBdr>
          <w:divsChild>
            <w:div w:id="2087915788">
              <w:marLeft w:val="0"/>
              <w:marRight w:val="0"/>
              <w:marTop w:val="0"/>
              <w:marBottom w:val="0"/>
              <w:divBdr>
                <w:top w:val="single" w:sz="2" w:space="8" w:color="AAAAAA"/>
                <w:left w:val="single" w:sz="6" w:space="0" w:color="AAAAAA"/>
                <w:bottom w:val="single" w:sz="2" w:space="8" w:color="AAAAAA"/>
                <w:right w:val="single" w:sz="6" w:space="0" w:color="AAAAAA"/>
              </w:divBdr>
              <w:divsChild>
                <w:div w:id="2087915787">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 w:id="2087915790">
              <w:marLeft w:val="0"/>
              <w:marRight w:val="0"/>
              <w:marTop w:val="60"/>
              <w:marBottom w:val="150"/>
              <w:divBdr>
                <w:top w:val="single" w:sz="18" w:space="0" w:color="AAAAAA"/>
                <w:left w:val="single" w:sz="6" w:space="0" w:color="AAAAAA"/>
                <w:bottom w:val="single" w:sz="6" w:space="8" w:color="AAAAAA"/>
                <w:right w:val="single" w:sz="6" w:space="0" w:color="AAAAAA"/>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4249</Characters>
  <Application>Microsoft Office Word</Application>
  <DocSecurity>0</DocSecurity>
  <Lines>35</Lines>
  <Paragraphs>10</Paragraphs>
  <ScaleCrop>false</ScaleCrop>
  <Company>Loughborough University</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dc:title>
  <dc:subject/>
  <dc:creator>adbpv</dc:creator>
  <cp:keywords/>
  <dc:description/>
  <cp:lastModifiedBy>adtwph</cp:lastModifiedBy>
  <cp:revision>4</cp:revision>
  <dcterms:created xsi:type="dcterms:W3CDTF">2010-06-15T13:05:00Z</dcterms:created>
  <dcterms:modified xsi:type="dcterms:W3CDTF">2010-06-23T10:39:00Z</dcterms:modified>
</cp:coreProperties>
</file>